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17" w:rsidRDefault="00300017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2EE" w:rsidRPr="001672EE" w:rsidRDefault="001672EE" w:rsidP="001672EE">
      <w:pPr>
        <w:widowControl/>
        <w:pBdr>
          <w:bottom w:val="single" w:sz="6" w:space="7" w:color="E5E5E5"/>
        </w:pBdr>
        <w:shd w:val="clear" w:color="auto" w:fill="FFFFFF"/>
        <w:autoSpaceDE/>
        <w:autoSpaceDN/>
        <w:adjustRightInd/>
        <w:spacing w:after="340"/>
        <w:outlineLvl w:val="0"/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</w:pPr>
      <w:bookmarkStart w:id="0" w:name="_GoBack"/>
      <w:bookmarkEnd w:id="0"/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Обґрунтування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технічних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якісних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характеристик предмета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закупі</w:t>
      </w:r>
      <w:proofErr w:type="gram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вл</w:t>
      </w:r>
      <w:proofErr w:type="gram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і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,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розміру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бюджетного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призначення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,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очікуваної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вартості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предмета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закупівлі</w:t>
      </w:r>
      <w:proofErr w:type="spellEnd"/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(</w:t>
      </w:r>
      <w:r w:rsidR="007A5633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  <w:t>Сухарі та печиво</w:t>
      </w:r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)</w:t>
      </w:r>
    </w:p>
    <w:p w:rsidR="00A05438" w:rsidRPr="001672EE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98" w:type="dxa"/>
        <w:tblLook w:val="04A0"/>
      </w:tblPr>
      <w:tblGrid>
        <w:gridCol w:w="7905"/>
        <w:gridCol w:w="7393"/>
      </w:tblGrid>
      <w:tr w:rsidR="00A05438" w:rsidRPr="007A5633" w:rsidTr="00A05438">
        <w:tc>
          <w:tcPr>
            <w:tcW w:w="7905" w:type="dxa"/>
          </w:tcPr>
          <w:p w:rsidR="00A05438" w:rsidRPr="00A05438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Замовник: </w:t>
            </w:r>
          </w:p>
        </w:tc>
        <w:tc>
          <w:tcPr>
            <w:tcW w:w="7393" w:type="dxa"/>
          </w:tcPr>
          <w:p w:rsidR="00A05438" w:rsidRPr="001672EE" w:rsidRDefault="001672EE" w:rsidP="00C1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Андрієво-Іванівська</w:t>
            </w:r>
            <w:proofErr w:type="spellEnd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загальноосвітня школа-інтернат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І-ІІ ступенів для  дітей-сиріт і дітей, позбавлених батьківського піклування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за ЄДРПОУ</w:t>
            </w:r>
            <w:r w:rsidR="00A054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20992771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67021, Одеська область, Миколаївський район, село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Андрієво-Іванівка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вулиця Центральна, 49</w:t>
            </w: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Посадові особи замовника, уповноважені здійснювати зв'язок з учасником</w:t>
            </w:r>
          </w:p>
        </w:tc>
        <w:tc>
          <w:tcPr>
            <w:tcW w:w="7393" w:type="dxa"/>
          </w:tcPr>
          <w:p w:rsidR="00A05438" w:rsidRPr="001672EE" w:rsidRDefault="001672EE" w:rsidP="001672E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Інжестойков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Віктор Іванович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голова тендерного комітету,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директор школи-інтернату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 w:rsidR="00757C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тел. 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962988220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485726609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 w:rsid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                                    </w:t>
            </w:r>
            <w:proofErr w:type="spellStart"/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ел</w:t>
            </w:r>
            <w:proofErr w:type="spellEnd"/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. адреса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ingik67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gmail.com</w:t>
            </w:r>
          </w:p>
        </w:tc>
      </w:tr>
      <w:tr w:rsidR="00A05438" w:rsidRPr="001B169E" w:rsidTr="00216D7D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Номер закупівлі в електронній системі закупівель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Prozorro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7393" w:type="dxa"/>
            <w:shd w:val="clear" w:color="auto" w:fill="auto"/>
          </w:tcPr>
          <w:p w:rsidR="00A05438" w:rsidRPr="00596B38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A05438" w:rsidRPr="001B169E" w:rsidRDefault="001B169E" w:rsidP="001B16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Предмет закупівлі:</w:t>
            </w:r>
            <w:r w:rsidRPr="001B1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16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1B169E" w:rsidRPr="001B169E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предмета закупівлі</w:t>
            </w:r>
            <w:r w:rsidR="001B16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216D7D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товари</w:t>
            </w: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Конкретна назва предмета закупівлі</w:t>
            </w:r>
          </w:p>
        </w:tc>
        <w:tc>
          <w:tcPr>
            <w:tcW w:w="7393" w:type="dxa"/>
          </w:tcPr>
          <w:p w:rsidR="00EB6C31" w:rsidRPr="001672EE" w:rsidRDefault="007A5633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печиво, бублик-сушка, печиво вівсяне, вафлі</w:t>
            </w:r>
          </w:p>
        </w:tc>
      </w:tr>
      <w:tr w:rsidR="001B169E" w:rsidRPr="00581C31" w:rsidTr="00A05438">
        <w:tc>
          <w:tcPr>
            <w:tcW w:w="7905" w:type="dxa"/>
          </w:tcPr>
          <w:p w:rsidR="001B169E" w:rsidRPr="007F08A7" w:rsidRDefault="001B169E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Коди та назви відповідних класифікаторів предмета закупівлі і частин предмета закупівлі(лотів) (за наявності</w:t>
            </w:r>
            <w:r w:rsidR="007F08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393" w:type="dxa"/>
          </w:tcPr>
          <w:p w:rsidR="007A5633" w:rsidRPr="006F46CF" w:rsidRDefault="007A5633" w:rsidP="007A5633">
            <w:pPr>
              <w:spacing w:after="24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за кодом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15820000-2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021:2015 «Сухарі та печиво»</w:t>
            </w:r>
          </w:p>
          <w:p w:rsidR="00EE5DE2" w:rsidRPr="00216D7D" w:rsidRDefault="00EE5DE2" w:rsidP="00581C3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1B169E" w:rsidRPr="00757C5A" w:rsidTr="00A05438">
        <w:tc>
          <w:tcPr>
            <w:tcW w:w="7905" w:type="dxa"/>
          </w:tcPr>
          <w:p w:rsidR="007F08A7" w:rsidRPr="007F08A7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4. Розмір бюджетного призначення за кошторисом або очікувана вартість предмета закупівлі (грн) </w:t>
            </w:r>
          </w:p>
        </w:tc>
        <w:tc>
          <w:tcPr>
            <w:tcW w:w="7393" w:type="dxa"/>
          </w:tcPr>
          <w:p w:rsidR="00757C5A" w:rsidRPr="00757C5A" w:rsidRDefault="00757C5A" w:rsidP="00C300F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Очікувана вартість закупівлі </w:t>
            </w:r>
            <w:r w:rsidRPr="00EE5DE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– </w:t>
            </w:r>
            <w:r w:rsidR="007A563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84630,00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грн.</w:t>
            </w:r>
          </w:p>
        </w:tc>
      </w:tr>
      <w:tr w:rsidR="001B169E" w:rsidRPr="001672EE" w:rsidTr="00EE5DE2">
        <w:trPr>
          <w:trHeight w:val="64"/>
        </w:trPr>
        <w:tc>
          <w:tcPr>
            <w:tcW w:w="7905" w:type="dxa"/>
          </w:tcPr>
          <w:p w:rsidR="00596B38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Кількість</w:t>
            </w:r>
          </w:p>
          <w:p w:rsidR="00596B38" w:rsidRPr="00596B38" w:rsidRDefault="00596B38" w:rsidP="00596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93" w:type="dxa"/>
          </w:tcPr>
          <w:p w:rsidR="001672EE" w:rsidRDefault="007A5633" w:rsidP="001672E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Печиво 454 кг</w:t>
            </w:r>
          </w:p>
          <w:p w:rsidR="007A5633" w:rsidRDefault="007A5633" w:rsidP="001672E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Бублик-сушка 330 кг</w:t>
            </w:r>
          </w:p>
          <w:p w:rsidR="007A5633" w:rsidRDefault="007A5633" w:rsidP="001672E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Печиво вівсяне – 350 кг</w:t>
            </w:r>
          </w:p>
          <w:p w:rsidR="007A5633" w:rsidRPr="0037397E" w:rsidRDefault="007A5633" w:rsidP="007A563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Вафлі – 100 кг</w:t>
            </w:r>
          </w:p>
        </w:tc>
      </w:tr>
      <w:tr w:rsidR="007F08A7" w:rsidRPr="001672EE" w:rsidTr="00A05438">
        <w:tc>
          <w:tcPr>
            <w:tcW w:w="7905" w:type="dxa"/>
          </w:tcPr>
          <w:p w:rsidR="007F08A7" w:rsidRP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6. Ціна за одиницю</w:t>
            </w:r>
          </w:p>
        </w:tc>
        <w:tc>
          <w:tcPr>
            <w:tcW w:w="7393" w:type="dxa"/>
          </w:tcPr>
          <w:p w:rsidR="007A5633" w:rsidRDefault="007A5633" w:rsidP="007A563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Печиво-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60грн</w:t>
            </w:r>
          </w:p>
          <w:p w:rsidR="007A5633" w:rsidRDefault="007A5633" w:rsidP="007A563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Бублик-сушка -70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грн</w:t>
            </w:r>
            <w:proofErr w:type="spellEnd"/>
          </w:p>
          <w:p w:rsidR="007A5633" w:rsidRDefault="007A5633" w:rsidP="007A563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Печиво вівсяне – 75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грн</w:t>
            </w:r>
            <w:proofErr w:type="spellEnd"/>
          </w:p>
          <w:p w:rsidR="001672EE" w:rsidRPr="0037397E" w:rsidRDefault="007A5633" w:rsidP="007A563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Вафлі – 80,40грн</w:t>
            </w:r>
          </w:p>
        </w:tc>
      </w:tr>
      <w:tr w:rsidR="007F08A7" w:rsidRPr="00596B38" w:rsidTr="00A05438">
        <w:tc>
          <w:tcPr>
            <w:tcW w:w="7905" w:type="dxa"/>
          </w:tcPr>
          <w:p w:rsid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Обґрунтування технічних та якісних характеристик предмета закупівлі:</w:t>
            </w:r>
          </w:p>
        </w:tc>
        <w:tc>
          <w:tcPr>
            <w:tcW w:w="7393" w:type="dxa"/>
          </w:tcPr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  <w:lang w:val="uk-UA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  № 275 із змінами).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Мета використання Товару: для харчування дітей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Розрахунок потреби на 2021 рік, виходячи з основних виробничих показників:</w:t>
            </w:r>
          </w:p>
          <w:p w:rsidR="001672EE" w:rsidRPr="00D9604A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Постанови КМУ від 22.11.04. №1591 «Про затвердження норм харчування у закладах освіти та дитячих закладах </w:t>
            </w: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оздоровлення та відпочинку»;</w:t>
            </w:r>
          </w:p>
          <w:p w:rsidR="001672EE" w:rsidRPr="007A5633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забезпечення в планових обсягах кошторису можливості </w:t>
            </w:r>
            <w:r w:rsidRPr="0037397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здійснення відповідних видатків з бюджету протягом </w:t>
            </w:r>
            <w:r w:rsidRPr="007A563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бюджетного періоду.</w:t>
            </w:r>
          </w:p>
          <w:p w:rsidR="007A5633" w:rsidRPr="007A5633" w:rsidRDefault="007A5633" w:rsidP="007A5633">
            <w:pPr>
              <w:spacing w:after="100" w:afterAutospacing="1" w:line="25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Товар по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якості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безпечності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повинен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відповідати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діючим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стандартам. </w:t>
            </w:r>
            <w:proofErr w:type="spellStart"/>
            <w:proofErr w:type="gram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Продукція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повинна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відповідати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вимогам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визначеним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Додатку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3 до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Вимог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предмета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закупівлі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За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зовнішнім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виглядом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запахом, смаком,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кольором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консистенцією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продукти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харчування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повинні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відповідати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показникам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якості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висуваються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товару,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є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предметом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закупівлі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При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цьому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якість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продукції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повинна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відповідати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діючим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момент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закупівель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ДСТУ</w:t>
            </w:r>
            <w:proofErr w:type="gram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ГОСТ, ТУУ, ТУ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або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іншому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нормативному документу.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Кожна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партія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товару повинна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відповідати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заявці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Замовника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та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мати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супроводжувальні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документи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ідтверджують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якість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товару (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копія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висновку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державної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санітарно-епідеміологічної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експертизи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та/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або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копія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посвідчення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якість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та/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або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копія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декларації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виробника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тощо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із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зазначенням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строку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придатності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умов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зберігання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температурного режиму.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Змі</w:t>
            </w:r>
            <w:proofErr w:type="gram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маркування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назва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місцезнаходження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виробника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пакувальника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назва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місця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походження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товарний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знак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виробника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позначення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маси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нетто,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чи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об'єму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склад продукту,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поживна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харчова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та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енергетична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цінність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калорійність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харчового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продукту, строк (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термін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придатності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умови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зберігання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дата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виготовлення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дата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пакування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або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фасування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на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споживчу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тару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обов'язково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наносять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кінцеву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дату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споживання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термін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придатності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) «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вжити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до»,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або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дату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строк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придатності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продукту,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нанесення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позначень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нормативних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документів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тощо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Тара та упаковка товару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повинні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бути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чистими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сухими, без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стороннього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запаху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порушення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цілісності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відповідати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діючому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санітарно-епідеміологічному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законодавству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містити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термін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умови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придатності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харчових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продукті</w:t>
            </w:r>
            <w:proofErr w:type="gram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  <w:p w:rsidR="007F08A7" w:rsidRPr="001672EE" w:rsidRDefault="007F08A7" w:rsidP="007A5633">
            <w:pPr>
              <w:pStyle w:val="ac"/>
              <w:rPr>
                <w:i/>
                <w:sz w:val="28"/>
                <w:szCs w:val="28"/>
              </w:rPr>
            </w:pPr>
          </w:p>
        </w:tc>
      </w:tr>
    </w:tbl>
    <w:p w:rsidR="00A05438" w:rsidRPr="00E22B3D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438" w:rsidRDefault="001672EE" w:rsidP="007F08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школи-інтернат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Інжестойков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В.І.</w:t>
      </w:r>
    </w:p>
    <w:sectPr w:rsidR="00A05438" w:rsidSect="00383A84">
      <w:pgSz w:w="16838" w:h="11906" w:orient="landscape"/>
      <w:pgMar w:top="568" w:right="1134" w:bottom="21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490" w:rsidRDefault="003B3490" w:rsidP="006317FF">
      <w:r>
        <w:separator/>
      </w:r>
    </w:p>
  </w:endnote>
  <w:endnote w:type="continuationSeparator" w:id="0">
    <w:p w:rsidR="003B3490" w:rsidRDefault="003B3490" w:rsidP="00631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490" w:rsidRDefault="003B3490" w:rsidP="006317FF">
      <w:r>
        <w:separator/>
      </w:r>
    </w:p>
  </w:footnote>
  <w:footnote w:type="continuationSeparator" w:id="0">
    <w:p w:rsidR="003B3490" w:rsidRDefault="003B3490" w:rsidP="00631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57"/>
    <w:rsid w:val="000850B4"/>
    <w:rsid w:val="001672EE"/>
    <w:rsid w:val="0018562E"/>
    <w:rsid w:val="001934BC"/>
    <w:rsid w:val="001B169E"/>
    <w:rsid w:val="001F2F56"/>
    <w:rsid w:val="00210B35"/>
    <w:rsid w:val="00216D7D"/>
    <w:rsid w:val="00222F5F"/>
    <w:rsid w:val="002321B2"/>
    <w:rsid w:val="00283A50"/>
    <w:rsid w:val="00300017"/>
    <w:rsid w:val="0032273D"/>
    <w:rsid w:val="0037397E"/>
    <w:rsid w:val="00383A84"/>
    <w:rsid w:val="003A0682"/>
    <w:rsid w:val="003B1AC7"/>
    <w:rsid w:val="003B2950"/>
    <w:rsid w:val="003B3490"/>
    <w:rsid w:val="003F7387"/>
    <w:rsid w:val="00426C6D"/>
    <w:rsid w:val="004441B6"/>
    <w:rsid w:val="00490883"/>
    <w:rsid w:val="004F0688"/>
    <w:rsid w:val="00515304"/>
    <w:rsid w:val="00526FF5"/>
    <w:rsid w:val="00543692"/>
    <w:rsid w:val="005436EC"/>
    <w:rsid w:val="00552EB5"/>
    <w:rsid w:val="005613F2"/>
    <w:rsid w:val="00573B98"/>
    <w:rsid w:val="00581C31"/>
    <w:rsid w:val="00592A72"/>
    <w:rsid w:val="00596B38"/>
    <w:rsid w:val="005A1DFE"/>
    <w:rsid w:val="005C5057"/>
    <w:rsid w:val="005E58E8"/>
    <w:rsid w:val="006066FE"/>
    <w:rsid w:val="006317FF"/>
    <w:rsid w:val="00631C38"/>
    <w:rsid w:val="00644657"/>
    <w:rsid w:val="00664988"/>
    <w:rsid w:val="00681760"/>
    <w:rsid w:val="007369BC"/>
    <w:rsid w:val="00757C5A"/>
    <w:rsid w:val="007A5633"/>
    <w:rsid w:val="007D2690"/>
    <w:rsid w:val="007F08A7"/>
    <w:rsid w:val="00845032"/>
    <w:rsid w:val="00874B50"/>
    <w:rsid w:val="00896B24"/>
    <w:rsid w:val="008A0153"/>
    <w:rsid w:val="008C106F"/>
    <w:rsid w:val="009A7C6D"/>
    <w:rsid w:val="00A05438"/>
    <w:rsid w:val="00A05673"/>
    <w:rsid w:val="00A20D8E"/>
    <w:rsid w:val="00A34115"/>
    <w:rsid w:val="00A44156"/>
    <w:rsid w:val="00A45A3A"/>
    <w:rsid w:val="00A62FEA"/>
    <w:rsid w:val="00AB4122"/>
    <w:rsid w:val="00AF1ADA"/>
    <w:rsid w:val="00B31F4F"/>
    <w:rsid w:val="00B8531C"/>
    <w:rsid w:val="00B861AB"/>
    <w:rsid w:val="00B93653"/>
    <w:rsid w:val="00BA1904"/>
    <w:rsid w:val="00BF034D"/>
    <w:rsid w:val="00C136A0"/>
    <w:rsid w:val="00C300F8"/>
    <w:rsid w:val="00C70703"/>
    <w:rsid w:val="00C828B3"/>
    <w:rsid w:val="00D05117"/>
    <w:rsid w:val="00D10DC7"/>
    <w:rsid w:val="00D9604A"/>
    <w:rsid w:val="00DD04F2"/>
    <w:rsid w:val="00E22B3D"/>
    <w:rsid w:val="00E7427A"/>
    <w:rsid w:val="00EB6C31"/>
    <w:rsid w:val="00EE5DE2"/>
    <w:rsid w:val="00F266C3"/>
    <w:rsid w:val="00FC4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72E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216D7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qFormat/>
    <w:rsid w:val="001672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167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D960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9604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604A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9604A"/>
    <w:rPr>
      <w:b/>
      <w:bCs/>
    </w:rPr>
  </w:style>
  <w:style w:type="character" w:customStyle="1" w:styleId="boldFontStyle">
    <w:name w:val="boldFontStyle"/>
    <w:rsid w:val="00D9604A"/>
    <w:rPr>
      <w:rFonts w:ascii="Arial" w:eastAsia="Times New Roman" w:hAnsi="Arial" w:cs="Arial" w:hint="default"/>
      <w:b/>
      <w:bCs w:val="0"/>
      <w:sz w:val="24"/>
    </w:rPr>
  </w:style>
  <w:style w:type="character" w:customStyle="1" w:styleId="defaultFontStyle">
    <w:name w:val="defaultFontStyle"/>
    <w:rsid w:val="00D9604A"/>
    <w:rPr>
      <w:rFonts w:ascii="Arial" w:eastAsia="Times New Roman" w:hAnsi="Arial" w:cs="Arial" w:hint="default"/>
      <w:sz w:val="24"/>
    </w:rPr>
  </w:style>
  <w:style w:type="paragraph" w:customStyle="1" w:styleId="rvps2">
    <w:name w:val="rvps2"/>
    <w:basedOn w:val="a"/>
    <w:qFormat/>
    <w:rsid w:val="007A56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2021-02-11T07:05:00Z</cp:lastPrinted>
  <dcterms:created xsi:type="dcterms:W3CDTF">2021-02-11T07:11:00Z</dcterms:created>
  <dcterms:modified xsi:type="dcterms:W3CDTF">2021-02-11T07:11:00Z</dcterms:modified>
</cp:coreProperties>
</file>